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3C684" w14:textId="7968B000" w:rsidR="00C66439" w:rsidRPr="00C66439" w:rsidRDefault="00C66439" w:rsidP="00C66439">
      <w:pPr>
        <w:snapToGrid w:val="0"/>
        <w:spacing w:line="360" w:lineRule="auto"/>
        <w:rPr>
          <w:rFonts w:eastAsia="맑은 고딕" w:cs="Arial"/>
          <w:b/>
          <w:bCs/>
          <w:snapToGrid w:val="0"/>
          <w:sz w:val="24"/>
          <w:lang w:eastAsia="ko-KR"/>
        </w:rPr>
      </w:pPr>
      <w:bookmarkStart w:id="0" w:name="OLE_LINK1"/>
      <w:bookmarkStart w:id="1" w:name="OLE_LINK2"/>
      <w:r w:rsidRPr="00476E22">
        <w:rPr>
          <w:rFonts w:cs="Arial"/>
          <w:b/>
          <w:bCs/>
          <w:snapToGrid w:val="0"/>
          <w:sz w:val="24"/>
        </w:rPr>
        <w:t>3GPP TSG RAN WG1 Meeting #8</w:t>
      </w:r>
      <w:r w:rsidRPr="00476E22">
        <w:rPr>
          <w:rFonts w:cs="Arial" w:hint="eastAsia"/>
          <w:b/>
          <w:bCs/>
          <w:snapToGrid w:val="0"/>
          <w:sz w:val="24"/>
        </w:rPr>
        <w:t>8</w:t>
      </w:r>
      <w:r w:rsidRPr="00476E22">
        <w:rPr>
          <w:rFonts w:cs="Arial" w:hint="eastAsia"/>
          <w:b/>
          <w:bCs/>
          <w:snapToGrid w:val="0"/>
          <w:sz w:val="24"/>
        </w:rPr>
        <w:tab/>
      </w:r>
      <w:r w:rsidRPr="00476E22">
        <w:rPr>
          <w:rFonts w:cs="Arial" w:hint="eastAsia"/>
          <w:b/>
          <w:bCs/>
          <w:snapToGrid w:val="0"/>
          <w:sz w:val="24"/>
        </w:rPr>
        <w:tab/>
      </w:r>
      <w:r w:rsidRPr="00476E22">
        <w:rPr>
          <w:rFonts w:cs="Arial" w:hint="eastAsia"/>
          <w:b/>
          <w:bCs/>
          <w:snapToGrid w:val="0"/>
          <w:sz w:val="24"/>
        </w:rPr>
        <w:tab/>
      </w:r>
      <w:r w:rsidRPr="00476E22">
        <w:rPr>
          <w:rFonts w:cs="Arial" w:hint="eastAsia"/>
          <w:b/>
          <w:bCs/>
          <w:snapToGrid w:val="0"/>
          <w:sz w:val="24"/>
        </w:rPr>
        <w:tab/>
      </w:r>
      <w:r w:rsidRPr="00476E22">
        <w:rPr>
          <w:rFonts w:cs="Arial"/>
          <w:b/>
          <w:bCs/>
          <w:snapToGrid w:val="0"/>
          <w:sz w:val="24"/>
        </w:rPr>
        <w:t xml:space="preserve">  </w:t>
      </w:r>
      <w:r w:rsidRPr="00476E22">
        <w:rPr>
          <w:rFonts w:cs="Arial" w:hint="eastAsia"/>
          <w:b/>
          <w:bCs/>
          <w:snapToGrid w:val="0"/>
          <w:sz w:val="24"/>
        </w:rPr>
        <w:t xml:space="preserve">     </w:t>
      </w:r>
      <w:r w:rsidRPr="00476E22">
        <w:rPr>
          <w:rFonts w:cs="Arial"/>
          <w:b/>
          <w:bCs/>
          <w:snapToGrid w:val="0"/>
          <w:sz w:val="24"/>
        </w:rPr>
        <w:t xml:space="preserve">    </w:t>
      </w:r>
      <w:r w:rsidRPr="00476E22">
        <w:rPr>
          <w:rFonts w:cs="Arial"/>
          <w:b/>
          <w:bCs/>
          <w:snapToGrid w:val="0"/>
          <w:sz w:val="24"/>
        </w:rPr>
        <w:tab/>
      </w:r>
      <w:r w:rsidRPr="00476E22">
        <w:rPr>
          <w:rFonts w:cs="Arial" w:hint="eastAsia"/>
          <w:b/>
          <w:bCs/>
          <w:snapToGrid w:val="0"/>
          <w:sz w:val="24"/>
        </w:rPr>
        <w:t xml:space="preserve">        </w:t>
      </w:r>
      <w:r w:rsidRPr="00476E22">
        <w:rPr>
          <w:rFonts w:cs="Arial"/>
          <w:b/>
          <w:bCs/>
          <w:snapToGrid w:val="0"/>
          <w:sz w:val="24"/>
        </w:rPr>
        <w:t>R1-1</w:t>
      </w:r>
      <w:r>
        <w:rPr>
          <w:rFonts w:cs="Arial" w:hint="eastAsia"/>
          <w:b/>
          <w:bCs/>
          <w:snapToGrid w:val="0"/>
          <w:sz w:val="24"/>
        </w:rPr>
        <w:t>7023</w:t>
      </w:r>
      <w:r>
        <w:rPr>
          <w:rFonts w:eastAsia="맑은 고딕" w:cs="Arial" w:hint="eastAsia"/>
          <w:b/>
          <w:bCs/>
          <w:snapToGrid w:val="0"/>
          <w:sz w:val="24"/>
          <w:lang w:eastAsia="ko-KR"/>
        </w:rPr>
        <w:t>99</w:t>
      </w:r>
    </w:p>
    <w:p w14:paraId="4C03920A" w14:textId="77777777" w:rsidR="00C66439" w:rsidRPr="00476E22" w:rsidRDefault="00C66439" w:rsidP="00C66439">
      <w:pPr>
        <w:pStyle w:val="TdocHeader2"/>
        <w:ind w:left="1440" w:hanging="1440"/>
        <w:rPr>
          <w:sz w:val="22"/>
          <w:lang w:val="en-US" w:eastAsia="ko-KR"/>
        </w:rPr>
      </w:pPr>
      <w:r w:rsidRPr="00476E22">
        <w:rPr>
          <w:rFonts w:cs="Arial"/>
          <w:bCs/>
          <w:snapToGrid w:val="0"/>
          <w:sz w:val="24"/>
          <w:lang w:eastAsia="ko-KR"/>
        </w:rPr>
        <w:t>Athens, Greece 13th - 17th February 2017</w:t>
      </w:r>
    </w:p>
    <w:p w14:paraId="7D146E6B" w14:textId="61E687B4" w:rsidR="00386965" w:rsidRDefault="000F2CDD" w:rsidP="000C3DBD">
      <w:pPr>
        <w:pStyle w:val="TdocHeader2"/>
        <w:rPr>
          <w:rFonts w:eastAsia="맑은 고딕"/>
          <w:sz w:val="22"/>
          <w:lang w:val="en-US" w:eastAsia="ko-KR"/>
        </w:rPr>
      </w:pPr>
      <w:bookmarkStart w:id="2" w:name="_GoBack"/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  <w:bookmarkEnd w:id="2"/>
    </w:p>
    <w:p w14:paraId="77FDCD1F" w14:textId="45F680C8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C66439">
        <w:rPr>
          <w:rFonts w:hint="eastAsia"/>
          <w:sz w:val="22"/>
          <w:lang w:val="en-US" w:eastAsia="ko-KR"/>
        </w:rPr>
        <w:t>7.2.1.4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0183E33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2715FC">
        <w:rPr>
          <w:rFonts w:hint="eastAsia"/>
          <w:sz w:val="22"/>
          <w:lang w:val="en-US" w:eastAsia="ko-KR"/>
        </w:rPr>
        <w:t xml:space="preserve">Remaining </w:t>
      </w:r>
      <w:r w:rsidR="00C66439">
        <w:rPr>
          <w:rFonts w:hint="eastAsia"/>
          <w:sz w:val="22"/>
          <w:lang w:val="en-US" w:eastAsia="ko-KR"/>
        </w:rPr>
        <w:t>issues</w:t>
      </w:r>
      <w:r w:rsidR="002715FC">
        <w:rPr>
          <w:rFonts w:hint="eastAsia"/>
          <w:sz w:val="22"/>
          <w:lang w:val="en-US" w:eastAsia="ko-KR"/>
        </w:rPr>
        <w:t xml:space="preserve"> </w:t>
      </w:r>
      <w:r w:rsidR="00C66439">
        <w:rPr>
          <w:rFonts w:hint="eastAsia"/>
          <w:sz w:val="22"/>
          <w:lang w:val="en-US" w:eastAsia="ko-KR"/>
        </w:rPr>
        <w:t>on</w:t>
      </w:r>
      <w:r w:rsidR="000C3DBD">
        <w:rPr>
          <w:rFonts w:hint="eastAsia"/>
          <w:sz w:val="22"/>
          <w:lang w:val="en-US" w:eastAsia="ko-KR"/>
        </w:rPr>
        <w:t xml:space="preserve"> </w:t>
      </w:r>
      <w:r w:rsidR="00C66439">
        <w:rPr>
          <w:rFonts w:hint="eastAsia"/>
          <w:sz w:val="22"/>
          <w:lang w:val="en-US" w:eastAsia="ko-KR"/>
        </w:rPr>
        <w:t>sidelink</w:t>
      </w:r>
      <w:r w:rsidR="000C3DBD">
        <w:rPr>
          <w:rFonts w:hint="eastAsia"/>
          <w:sz w:val="22"/>
          <w:lang w:val="en-US" w:eastAsia="ko-KR"/>
        </w:rPr>
        <w:t xml:space="preserve"> synchronization</w:t>
      </w:r>
      <w:r w:rsidR="00C66439">
        <w:rPr>
          <w:rFonts w:hint="eastAsia"/>
          <w:sz w:val="22"/>
          <w:lang w:val="en-US" w:eastAsia="ko-KR"/>
        </w:rPr>
        <w:t xml:space="preserve"> </w:t>
      </w:r>
      <w:r w:rsidR="00C66439">
        <w:rPr>
          <w:sz w:val="22"/>
          <w:lang w:val="en-US" w:eastAsia="ko-KR"/>
        </w:rPr>
        <w:t>enhancement</w:t>
      </w:r>
      <w:r w:rsidR="00C66439">
        <w:rPr>
          <w:rFonts w:hint="eastAsia"/>
          <w:sz w:val="22"/>
          <w:lang w:val="en-US" w:eastAsia="ko-KR"/>
        </w:rPr>
        <w:t xml:space="preserve"> 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60DA3AF9" w14:textId="1B368FD1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#86bis, the following agreements were made:</w:t>
      </w:r>
    </w:p>
    <w:p w14:paraId="74C72C2D" w14:textId="77777777" w:rsidR="00C90FA7" w:rsidRPr="00C90FA7" w:rsidRDefault="00C90FA7" w:rsidP="00C90FA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u w:val="single"/>
          <w:lang w:eastAsia="en-US"/>
        </w:rPr>
      </w:pPr>
      <w:r w:rsidRPr="00C90FA7">
        <w:rPr>
          <w:rFonts w:ascii="Times New Roman" w:eastAsia="맑은 고딕" w:hAnsi="Times New Roman"/>
          <w:b/>
          <w:iCs/>
          <w:sz w:val="22"/>
          <w:szCs w:val="22"/>
          <w:highlight w:val="green"/>
          <w:lang w:eastAsia="en-US"/>
        </w:rPr>
        <w:t xml:space="preserve">Agreement </w:t>
      </w:r>
      <w:r w:rsidRPr="00C90FA7">
        <w:rPr>
          <w:rFonts w:ascii="Times New Roman" w:eastAsia="맑은 고딕" w:hAnsi="Times New Roman"/>
          <w:b/>
          <w:sz w:val="22"/>
          <w:szCs w:val="22"/>
          <w:highlight w:val="green"/>
          <w:lang w:eastAsia="en-US"/>
        </w:rPr>
        <w:t>in RAN1#87</w:t>
      </w:r>
      <w:r w:rsidRPr="00C90FA7">
        <w:rPr>
          <w:rFonts w:ascii="Times New Roman" w:eastAsia="맑은 고딕" w:hAnsi="Times New Roman"/>
          <w:b/>
          <w:sz w:val="22"/>
          <w:szCs w:val="22"/>
          <w:lang w:eastAsia="en-US"/>
        </w:rPr>
        <w:t>:</w:t>
      </w:r>
    </w:p>
    <w:p w14:paraId="17F6A8B8" w14:textId="77777777" w:rsidR="00C90FA7" w:rsidRPr="00C90FA7" w:rsidRDefault="00C90FA7" w:rsidP="00C90FA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If the UE detects no eNB in a carrier which is (pre-)configured as the carrier which potentially includes eNBs used as sync reference, </w:t>
      </w:r>
    </w:p>
    <w:p w14:paraId="6CB363BF" w14:textId="77777777" w:rsidR="00C90FA7" w:rsidRPr="00C90FA7" w:rsidRDefault="00C90FA7" w:rsidP="00C90FA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when the (pre)configuration information indicates that eNB timing has higher priority than GNSS, the following priority rules should be applied: </w:t>
      </w:r>
    </w:p>
    <w:p w14:paraId="39068C79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P1’: UE directly synchronized to eNB </w:t>
      </w:r>
    </w:p>
    <w:p w14:paraId="4B47E1FC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P2’: UE indirectly synchronized to eNB (i.e., UE whose SyncRef is another UE directly synchronized to eNB) </w:t>
      </w:r>
    </w:p>
    <w:p w14:paraId="1FB56D32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P3’: GNSS </w:t>
      </w:r>
    </w:p>
    <w:p w14:paraId="0E2AD92E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P4’: UE directly synchronized to GNSS </w:t>
      </w:r>
    </w:p>
    <w:p w14:paraId="1CDA6E2A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P5’: UE indirectly synchronized to GNSS (i.e., UE whose SyncRef is another UE directly synchronized to GNSS) </w:t>
      </w:r>
    </w:p>
    <w:p w14:paraId="02C0FA6F" w14:textId="77777777" w:rsidR="00C90FA7" w:rsidRPr="00C90FA7" w:rsidRDefault="00C90FA7" w:rsidP="00C90FA7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P4’ and P5’ are differentiated at least when two sync resources are (pre)configured. FFS whether P4’ and P5’ are differentiated when three sync resources are (pre)configured. </w:t>
      </w:r>
    </w:p>
    <w:p w14:paraId="40541824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P6’: The remaining UEs have the lowest priority. </w:t>
      </w:r>
    </w:p>
    <w:p w14:paraId="752EF02C" w14:textId="77777777" w:rsidR="00C90FA7" w:rsidRPr="00C90FA7" w:rsidRDefault="00C90FA7" w:rsidP="00C90FA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Note that when the (pre)configuration information indicates that GNSS has higher priority than eNB timing, the following agreements are kept. </w:t>
      </w:r>
    </w:p>
    <w:p w14:paraId="24C0C9B0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P1: GNSS </w:t>
      </w:r>
    </w:p>
    <w:p w14:paraId="1306289A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P2: the following UE has the same priority: </w:t>
      </w:r>
    </w:p>
    <w:p w14:paraId="6E50503E" w14:textId="77777777" w:rsidR="00C90FA7" w:rsidRPr="00C90FA7" w:rsidRDefault="00C90FA7" w:rsidP="00C90FA7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UE directly synchronized to GNSS </w:t>
      </w:r>
    </w:p>
    <w:p w14:paraId="1A23527C" w14:textId="77777777" w:rsidR="00C90FA7" w:rsidRPr="00C90FA7" w:rsidRDefault="00C90FA7" w:rsidP="00C90FA7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UE directly synchronized to eNB </w:t>
      </w:r>
    </w:p>
    <w:p w14:paraId="5820318B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P3: the following UE has the same priority: </w:t>
      </w:r>
    </w:p>
    <w:p w14:paraId="66197ACF" w14:textId="77777777" w:rsidR="00C90FA7" w:rsidRPr="00C90FA7" w:rsidRDefault="00C90FA7" w:rsidP="00C90FA7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UE indirectly synchronized to GNSS (if RAN1 decides to differentiate between direct and indirect synchronization to GNSS) </w:t>
      </w:r>
    </w:p>
    <w:p w14:paraId="7A8944D1" w14:textId="77777777" w:rsidR="00C90FA7" w:rsidRPr="00C90FA7" w:rsidRDefault="00C90FA7" w:rsidP="00C90FA7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 xml:space="preserve">UE indirectly synchronized to eNB </w:t>
      </w:r>
    </w:p>
    <w:p w14:paraId="7F21FC29" w14:textId="77777777" w:rsidR="00C90FA7" w:rsidRPr="00C90FA7" w:rsidRDefault="00C90FA7" w:rsidP="00C90FA7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sz w:val="22"/>
          <w:szCs w:val="22"/>
          <w:lang w:eastAsia="en-US"/>
        </w:rPr>
        <w:t>P4: the remaining UEs have the lowest priority.</w:t>
      </w:r>
    </w:p>
    <w:p w14:paraId="55D3A302" w14:textId="77777777" w:rsidR="00C90FA7" w:rsidRPr="00C90FA7" w:rsidRDefault="00C90FA7" w:rsidP="00C90FA7">
      <w:pPr>
        <w:autoSpaceDE/>
        <w:autoSpaceDN/>
        <w:spacing w:after="180"/>
        <w:ind w:left="1440" w:hanging="1440"/>
        <w:jc w:val="left"/>
        <w:rPr>
          <w:rFonts w:ascii="Times New Roman" w:eastAsia="맑은 고딕" w:hAnsi="Times New Roman"/>
          <w:sz w:val="22"/>
          <w:szCs w:val="22"/>
          <w:lang w:eastAsia="en-US"/>
        </w:rPr>
      </w:pPr>
    </w:p>
    <w:p w14:paraId="33217625" w14:textId="77777777" w:rsidR="00C90FA7" w:rsidRPr="00C90FA7" w:rsidRDefault="00C90FA7" w:rsidP="00C90FA7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맑은 고딕" w:hAnsi="Times New Roman"/>
          <w:b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b/>
          <w:sz w:val="22"/>
          <w:szCs w:val="22"/>
          <w:highlight w:val="green"/>
          <w:lang w:eastAsia="en-US"/>
        </w:rPr>
        <w:t>Agreement in RAN1#87:</w:t>
      </w:r>
    </w:p>
    <w:p w14:paraId="25BE2AEE" w14:textId="77777777" w:rsidR="00C90FA7" w:rsidRPr="00C90FA7" w:rsidRDefault="00C90FA7" w:rsidP="00C90FA7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When two resources are included, the following behavior is used. </w:t>
      </w:r>
    </w:p>
    <w:p w14:paraId="0B81BCDD" w14:textId="46DEF278" w:rsidR="00C90FA7" w:rsidRPr="00C90FA7" w:rsidRDefault="00C90FA7" w:rsidP="00C90FA7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>The same sync resource is used for UEs di</w:t>
      </w:r>
      <w:r w:rsidR="001D16E4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rectly synchronized with GNSS. </w:t>
      </w:r>
    </w:p>
    <w:p w14:paraId="0B3719F1" w14:textId="77777777" w:rsidR="00C90FA7" w:rsidRPr="00C90FA7" w:rsidRDefault="00C90FA7" w:rsidP="00C90FA7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UE directly synchronized to GNSS is not required to monitor PSBCH in the other resource if GNSS is at the highest priority. </w:t>
      </w:r>
    </w:p>
    <w:p w14:paraId="5BEAFA1B" w14:textId="77777777" w:rsidR="00C90FA7" w:rsidRPr="00C90FA7" w:rsidRDefault="00C90FA7" w:rsidP="00C90FA7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A UE that selecting SLSS ID = 0 with in-coverage indicator = 1 as its sync reference transmits SLSS = 0 with in-coverage indicator = 0. </w:t>
      </w:r>
    </w:p>
    <w:p w14:paraId="6089C98E" w14:textId="77777777" w:rsidR="00C90FA7" w:rsidRPr="00C90FA7" w:rsidRDefault="00C90FA7" w:rsidP="00C90FA7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In-coverage indicator is used to differentiate direct GNSS and in-direct GNSS </w:t>
      </w:r>
    </w:p>
    <w:p w14:paraId="21062E12" w14:textId="77777777" w:rsidR="00C90FA7" w:rsidRPr="00C90FA7" w:rsidRDefault="00C90FA7" w:rsidP="00C90FA7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UE directly and indirectly synchronized to GNSS set in-coverage indicator to 1 and 0 respectively. </w:t>
      </w:r>
    </w:p>
    <w:p w14:paraId="05222815" w14:textId="77777777" w:rsidR="00C90FA7" w:rsidRPr="00C90FA7" w:rsidRDefault="00C90FA7" w:rsidP="00C90FA7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SLSS ID 168 is used to differentiate 1 hop sync. or more hops for GNSS based synchronization </w:t>
      </w:r>
    </w:p>
    <w:p w14:paraId="0A68624F" w14:textId="77777777" w:rsidR="00C90FA7" w:rsidRPr="00C90FA7" w:rsidRDefault="00C90FA7" w:rsidP="00C90FA7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highlight w:val="yellow"/>
          <w:lang w:eastAsia="en-US"/>
        </w:rPr>
        <w:t>FFS</w:t>
      </w:r>
      <w:r w:rsidRPr="00C90FA7">
        <w:rPr>
          <w:rFonts w:ascii="Times New Roman" w:eastAsia="맑은 고딕" w:hAnsi="Times New Roman"/>
          <w:iCs/>
          <w:sz w:val="22"/>
          <w:szCs w:val="22"/>
          <w:lang w:eastAsia="ko-KR"/>
        </w:rPr>
        <w:t>1</w:t>
      </w: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 SLSS ID selection of “standalone UE”. </w:t>
      </w:r>
    </w:p>
    <w:p w14:paraId="61901869" w14:textId="77777777" w:rsidR="00C90FA7" w:rsidRPr="00C90FA7" w:rsidRDefault="00C90FA7" w:rsidP="00C90FA7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>Note: The sync resource for the in-coverage is one of the resource chosen from the out-of-coverage resources as D2D.</w:t>
      </w:r>
    </w:p>
    <w:p w14:paraId="70055852" w14:textId="77777777" w:rsidR="00C90FA7" w:rsidRPr="00C90FA7" w:rsidRDefault="00C90FA7" w:rsidP="00C90FA7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When three resources are included, the following behavior is used. </w:t>
      </w:r>
    </w:p>
    <w:p w14:paraId="181A3C60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lastRenderedPageBreak/>
        <w:t xml:space="preserve">For UE InC following eNB timing: </w:t>
      </w:r>
    </w:p>
    <w:p w14:paraId="418AE8A5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1: PSBCH and SLSSID from NW, InC bit = 1. </w:t>
      </w:r>
    </w:p>
    <w:p w14:paraId="090BDD82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InC following GNSS timing: </w:t>
      </w:r>
    </w:p>
    <w:p w14:paraId="273D765B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1: PSBCH from NW, SLSSID=0, InC bit = 1. </w:t>
      </w:r>
    </w:p>
    <w:p w14:paraId="7BF24863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OoC sync to UE InC: </w:t>
      </w:r>
    </w:p>
    <w:p w14:paraId="18CFFB2C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2: PSBCH (except DFN) and SLSSID from Sync Ref, InC bit = 0. </w:t>
      </w:r>
    </w:p>
    <w:p w14:paraId="7DE38E8A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OoC sync to UE in partial coverage (i.e., with SLSSID from net and InC=0): </w:t>
      </w:r>
    </w:p>
    <w:p w14:paraId="1DE02FE2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1: PSBCH (except DFN) from Sync Ref, SLSSID from Sync Ref + 168, InC bit = 0. </w:t>
      </w:r>
    </w:p>
    <w:p w14:paraId="3C99AC5F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OoC sync to UE OoC, distinguish 2 cases: </w:t>
      </w:r>
    </w:p>
    <w:p w14:paraId="6E7685FC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If sync Ref UE is directly sync to GNSS (i.e., transmitting on resource 3). </w:t>
      </w:r>
    </w:p>
    <w:p w14:paraId="53FF0DB4" w14:textId="77777777" w:rsidR="00C90FA7" w:rsidRPr="00C90FA7" w:rsidRDefault="00C90FA7" w:rsidP="00C90FA7">
      <w:pPr>
        <w:numPr>
          <w:ilvl w:val="3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2: PSBCH (except DFN) from Sync Ref, InC bit = 0. </w:t>
      </w:r>
      <w:r w:rsidRPr="00C90FA7">
        <w:rPr>
          <w:rFonts w:ascii="Times New Roman" w:eastAsia="맑은 고딕" w:hAnsi="Times New Roman"/>
          <w:iCs/>
          <w:sz w:val="22"/>
          <w:szCs w:val="22"/>
          <w:highlight w:val="yellow"/>
          <w:lang w:eastAsia="en-US"/>
        </w:rPr>
        <w:t>FFS</w:t>
      </w:r>
      <w:r w:rsidRPr="00C90FA7">
        <w:rPr>
          <w:rFonts w:ascii="Times New Roman" w:eastAsia="맑은 고딕" w:hAnsi="Times New Roman"/>
          <w:iCs/>
          <w:sz w:val="22"/>
          <w:szCs w:val="22"/>
          <w:lang w:eastAsia="ko-KR"/>
        </w:rPr>
        <w:t>2</w:t>
      </w: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 SLSS ID.</w:t>
      </w:r>
    </w:p>
    <w:p w14:paraId="7ABDA7A6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Other cases: </w:t>
      </w:r>
    </w:p>
    <w:p w14:paraId="58D595C5" w14:textId="77777777" w:rsidR="00C90FA7" w:rsidRPr="00C90FA7" w:rsidRDefault="00C90FA7" w:rsidP="00C90FA7">
      <w:pPr>
        <w:numPr>
          <w:ilvl w:val="3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Use resource 1 or 2 (different from Sync Ref) with PBSCH (except DFN) and SLSSID from Sync Ref and InC bit = 0. </w:t>
      </w:r>
    </w:p>
    <w:p w14:paraId="14DF9A2F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isolated without GNSS: </w:t>
      </w:r>
    </w:p>
    <w:p w14:paraId="612ABAF7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1 or 2, randomly: PSBCH from preconfiguration, InC bit = 0. </w:t>
      </w:r>
      <w:r w:rsidRPr="00C90FA7">
        <w:rPr>
          <w:rFonts w:ascii="Times New Roman" w:eastAsia="맑은 고딕" w:hAnsi="Times New Roman"/>
          <w:iCs/>
          <w:sz w:val="22"/>
          <w:szCs w:val="22"/>
          <w:highlight w:val="yellow"/>
          <w:lang w:eastAsia="en-US"/>
        </w:rPr>
        <w:t>FFS</w:t>
      </w:r>
      <w:r w:rsidRPr="00C90FA7">
        <w:rPr>
          <w:rFonts w:ascii="Times New Roman" w:eastAsia="맑은 고딕" w:hAnsi="Times New Roman"/>
          <w:iCs/>
          <w:sz w:val="22"/>
          <w:szCs w:val="22"/>
          <w:lang w:eastAsia="ko-KR"/>
        </w:rPr>
        <w:t>3</w:t>
      </w: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 SLSSID selection </w:t>
      </w:r>
    </w:p>
    <w:p w14:paraId="3F5370EB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For UE OoC sync to GNSS. </w:t>
      </w:r>
    </w:p>
    <w:p w14:paraId="7F1FC361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Resource 3: PSBCH from preconfiguration, SLSSID = 0, InC bit = 0. </w:t>
      </w:r>
    </w:p>
    <w:p w14:paraId="0097628B" w14:textId="77777777" w:rsidR="00C90FA7" w:rsidRPr="00C90FA7" w:rsidRDefault="00C90FA7" w:rsidP="00C90FA7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highlight w:val="yellow"/>
          <w:lang w:eastAsia="en-US"/>
        </w:rPr>
        <w:t>FFS</w:t>
      </w:r>
      <w:r w:rsidRPr="00C90FA7">
        <w:rPr>
          <w:rFonts w:ascii="Times New Roman" w:eastAsia="맑은 고딕" w:hAnsi="Times New Roman"/>
          <w:iCs/>
          <w:sz w:val="22"/>
          <w:szCs w:val="22"/>
          <w:lang w:eastAsia="ko-KR"/>
        </w:rPr>
        <w:t>4</w:t>
      </w: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 behavior if UE reads PSBCH from another UE. </w:t>
      </w:r>
    </w:p>
    <w:p w14:paraId="4AAC1D2D" w14:textId="77777777" w:rsidR="00C90FA7" w:rsidRPr="00C90FA7" w:rsidRDefault="00C90FA7" w:rsidP="00C90FA7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iCs/>
          <w:sz w:val="22"/>
          <w:szCs w:val="22"/>
          <w:u w:val="single"/>
          <w:lang w:eastAsia="en-US"/>
        </w:rPr>
      </w:pPr>
      <w:r w:rsidRPr="00C90FA7">
        <w:rPr>
          <w:rFonts w:ascii="Times New Roman" w:eastAsia="맑은 고딕" w:hAnsi="Times New Roman"/>
          <w:iCs/>
          <w:sz w:val="22"/>
          <w:szCs w:val="22"/>
          <w:lang w:eastAsia="en-US"/>
        </w:rPr>
        <w:t xml:space="preserve">Note that Resource 1 is “InC resource” or “1st OoC resource”, and Resource 2 and 3 are “2nd OoC resource” and “3rd OoC resource” respectively. </w:t>
      </w:r>
    </w:p>
    <w:p w14:paraId="5FCA9DD8" w14:textId="77777777" w:rsidR="00565B1B" w:rsidRPr="00C90FA7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65730041" w14:textId="3FA268BB" w:rsidR="00774A5F" w:rsidRPr="0032004A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the remaining details of V2V synchronization. </w:t>
      </w:r>
    </w:p>
    <w:p w14:paraId="5AC68D9E" w14:textId="6BA6D587" w:rsidR="00A2331B" w:rsidRPr="00132DA9" w:rsidRDefault="001D7B73" w:rsidP="00132DA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2293F132" w14:textId="165BF14C" w:rsidR="00BB6CF8" w:rsidRPr="00BB6CF8" w:rsidRDefault="00BB6CF8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In this section, we discuss the remaining issues on sidelink synchronization and possible solutions. </w:t>
      </w:r>
    </w:p>
    <w:p w14:paraId="44637292" w14:textId="77777777" w:rsidR="00C90FA7" w:rsidRDefault="00C90FA7" w:rsidP="00AB3ABD">
      <w:pPr>
        <w:pStyle w:val="LGTdoc"/>
        <w:spacing w:before="100" w:beforeAutospacing="1" w:afterAutospacing="1"/>
        <w:rPr>
          <w:rFonts w:eastAsia="맑은 고딕"/>
          <w:iCs/>
          <w:u w:val="single"/>
          <w:lang w:val="en-US"/>
        </w:rPr>
      </w:pPr>
      <w:r w:rsidRPr="00C90FA7">
        <w:rPr>
          <w:rFonts w:eastAsia="맑은 고딕" w:hint="eastAsia"/>
          <w:iCs/>
          <w:u w:val="single"/>
          <w:lang w:val="en-US"/>
        </w:rPr>
        <w:t>FFS1: SLSS ID for standalone UE</w:t>
      </w:r>
    </w:p>
    <w:p w14:paraId="1F34FE12" w14:textId="07445E13" w:rsidR="00C90FA7" w:rsidRPr="00C90FA7" w:rsidRDefault="00356283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To be align</w:t>
      </w:r>
      <w:r w:rsidR="00446E61">
        <w:rPr>
          <w:rFonts w:eastAsia="맑은 고딕" w:hint="eastAsia"/>
          <w:iCs/>
          <w:lang w:val="en-US"/>
        </w:rPr>
        <w:t>ed with</w:t>
      </w:r>
      <w:r>
        <w:rPr>
          <w:rFonts w:eastAsia="맑은 고딕" w:hint="eastAsia"/>
          <w:iCs/>
          <w:lang w:val="en-US"/>
        </w:rPr>
        <w:t xml:space="preserve"> Rel. 12 behavior, SLSS ID</w:t>
      </w:r>
      <w:r w:rsidR="00446E61">
        <w:rPr>
          <w:rFonts w:eastAsia="맑은 고딕" w:hint="eastAsia"/>
          <w:iCs/>
          <w:lang w:val="en-US"/>
        </w:rPr>
        <w:t xml:space="preserve"> for standalone</w:t>
      </w:r>
      <w:r>
        <w:rPr>
          <w:rFonts w:eastAsia="맑은 고딕" w:hint="eastAsia"/>
          <w:iCs/>
          <w:lang w:val="en-US"/>
        </w:rPr>
        <w:t xml:space="preserve"> </w:t>
      </w:r>
      <w:r w:rsidR="00446E61">
        <w:rPr>
          <w:rFonts w:eastAsia="맑은 고딕" w:hint="eastAsia"/>
          <w:iCs/>
          <w:lang w:val="en-US"/>
        </w:rPr>
        <w:t xml:space="preserve">UE </w:t>
      </w:r>
      <w:r>
        <w:rPr>
          <w:rFonts w:eastAsia="맑은 고딕" w:hint="eastAsia"/>
          <w:iCs/>
          <w:lang w:val="en-US"/>
        </w:rPr>
        <w:t>should b</w:t>
      </w:r>
      <w:r w:rsidR="00A623F7">
        <w:rPr>
          <w:rFonts w:eastAsia="맑은 고딕" w:hint="eastAsia"/>
          <w:iCs/>
          <w:lang w:val="en-US"/>
        </w:rPr>
        <w:t>e selected from SLSS ID_oon {16</w:t>
      </w:r>
      <w:r w:rsidR="00D31C23">
        <w:rPr>
          <w:rFonts w:eastAsia="맑은 고딕" w:hint="eastAsia"/>
          <w:iCs/>
          <w:lang w:val="en-US"/>
        </w:rPr>
        <w:t>8</w:t>
      </w:r>
      <w:r>
        <w:rPr>
          <w:rFonts w:eastAsia="맑은 고딕" w:hint="eastAsia"/>
          <w:iCs/>
          <w:lang w:val="en-US"/>
        </w:rPr>
        <w:t xml:space="preserve">-335}. </w:t>
      </w:r>
    </w:p>
    <w:p w14:paraId="3D91FC0B" w14:textId="79AC2513" w:rsidR="009E6B76" w:rsidRPr="009E6B76" w:rsidRDefault="009E6B76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9E6B76">
        <w:rPr>
          <w:rFonts w:eastAsia="맑은 고딕" w:hint="eastAsia"/>
          <w:b/>
          <w:iCs/>
          <w:lang w:val="en-US"/>
        </w:rPr>
        <w:t xml:space="preserve">Proposal 1: Rel. 12 behavior should be reused for SLSS ID selection for standalone UE. </w:t>
      </w:r>
    </w:p>
    <w:p w14:paraId="7C448B3F" w14:textId="15081345" w:rsidR="00C90FA7" w:rsidRDefault="00C90FA7" w:rsidP="00AB3ABD">
      <w:pPr>
        <w:pStyle w:val="LGTdoc"/>
        <w:spacing w:before="100" w:beforeAutospacing="1" w:afterAutospacing="1"/>
        <w:rPr>
          <w:rFonts w:eastAsia="맑은 고딕"/>
          <w:iCs/>
          <w:u w:val="single"/>
          <w:lang w:val="en-US"/>
        </w:rPr>
      </w:pPr>
      <w:r w:rsidRPr="00C90FA7">
        <w:rPr>
          <w:rFonts w:eastAsia="맑은 고딕" w:hint="eastAsia"/>
          <w:iCs/>
          <w:u w:val="single"/>
          <w:lang w:val="en-US"/>
        </w:rPr>
        <w:t>FFS2: For UE OoC sync to UE OoC, SLSS ID when synch Ref UE is direc</w:t>
      </w:r>
      <w:r w:rsidR="009E6B76">
        <w:rPr>
          <w:rFonts w:eastAsia="맑은 고딕" w:hint="eastAsia"/>
          <w:iCs/>
          <w:u w:val="single"/>
          <w:lang w:val="en-US"/>
        </w:rPr>
        <w:t>t</w:t>
      </w:r>
      <w:r w:rsidRPr="00C90FA7">
        <w:rPr>
          <w:rFonts w:eastAsia="맑은 고딕" w:hint="eastAsia"/>
          <w:iCs/>
          <w:u w:val="single"/>
          <w:lang w:val="en-US"/>
        </w:rPr>
        <w:t>ly sync to GNSS (i.e. transmitting on resource 3)</w:t>
      </w:r>
    </w:p>
    <w:p w14:paraId="606FA9F4" w14:textId="2478FB59" w:rsidR="009E6B76" w:rsidRPr="009E6B76" w:rsidRDefault="009E6B76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When an OoC UE synchronizes to OoC UE is directly synchronized to GNSS, the UE should use SLSS ID 168 because in-coverage indicator is zero for SyncRef UE in synch resource 3 and ID should be 0 + 168. </w:t>
      </w:r>
    </w:p>
    <w:p w14:paraId="4A0E18C1" w14:textId="025DB830" w:rsidR="00C90FA7" w:rsidRPr="009E6B76" w:rsidRDefault="009E6B76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9E6B76">
        <w:rPr>
          <w:rFonts w:eastAsia="맑은 고딕" w:hint="eastAsia"/>
          <w:b/>
          <w:iCs/>
          <w:lang w:val="en-US"/>
        </w:rPr>
        <w:t xml:space="preserve">Proposal 2: SLSS ID = 168 is used for UE OoC sync to UE OoC when synch Ref UE is directly sync to GNSS. </w:t>
      </w:r>
    </w:p>
    <w:p w14:paraId="0CA20638" w14:textId="1F8AB19B" w:rsidR="00C90FA7" w:rsidRDefault="00C90FA7" w:rsidP="00AB3ABD">
      <w:pPr>
        <w:pStyle w:val="LGTdoc"/>
        <w:spacing w:before="100" w:beforeAutospacing="1" w:afterAutospacing="1"/>
        <w:rPr>
          <w:rFonts w:eastAsia="맑은 고딕"/>
          <w:iCs/>
          <w:u w:val="single"/>
          <w:lang w:val="en-US"/>
        </w:rPr>
      </w:pPr>
      <w:r w:rsidRPr="00C90FA7">
        <w:rPr>
          <w:rFonts w:eastAsia="맑은 고딕" w:hint="eastAsia"/>
          <w:iCs/>
          <w:u w:val="single"/>
          <w:lang w:val="en-US"/>
        </w:rPr>
        <w:t>FFS3: SLSS ID for UE isolated without GNSS</w:t>
      </w:r>
    </w:p>
    <w:p w14:paraId="19D8829A" w14:textId="03A99BAF" w:rsidR="00C90FA7" w:rsidRDefault="005F0CDE" w:rsidP="005F0CDE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/>
          <w:iCs/>
          <w:lang w:val="en-US"/>
        </w:rPr>
        <w:t>For UE isolated without GNSS</w:t>
      </w:r>
      <w:r>
        <w:rPr>
          <w:rFonts w:eastAsia="맑은 고딕" w:hint="eastAsia"/>
          <w:iCs/>
          <w:lang w:val="en-US"/>
        </w:rPr>
        <w:t xml:space="preserve">, since synchronization resource is already separated to </w:t>
      </w:r>
      <w:r>
        <w:rPr>
          <w:rFonts w:eastAsia="맑은 고딕"/>
          <w:iCs/>
          <w:lang w:val="en-US"/>
        </w:rPr>
        <w:t>synchronization</w:t>
      </w:r>
      <w:r>
        <w:rPr>
          <w:rFonts w:eastAsia="맑은 고딕" w:hint="eastAsia"/>
          <w:iCs/>
          <w:lang w:val="en-US"/>
        </w:rPr>
        <w:t xml:space="preserve"> resource 3, ID selection restriction (exclude 168 in the set of SLSS ID_oon) to prioritize SynchRef which is directly synchronized to GNSS is not necessary. Same behavior for SLSS ID selection as standalone UE should be reused. </w:t>
      </w:r>
    </w:p>
    <w:p w14:paraId="7DFDEA85" w14:textId="3274B5C3" w:rsidR="005F0CDE" w:rsidRPr="005F0CDE" w:rsidRDefault="005F0CDE" w:rsidP="005F0CDE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5F0CDE">
        <w:rPr>
          <w:rFonts w:eastAsia="맑은 고딕" w:hint="eastAsia"/>
          <w:b/>
          <w:iCs/>
          <w:lang w:val="en-US"/>
        </w:rPr>
        <w:lastRenderedPageBreak/>
        <w:t>Proposal 3: For UE isolated without GNSS, SLSS ID should be selected from SLSS ID_oon {168-335}.</w:t>
      </w:r>
    </w:p>
    <w:p w14:paraId="095617C9" w14:textId="60AF7B58" w:rsidR="005F0CDE" w:rsidRPr="005F0CDE" w:rsidRDefault="00C90FA7" w:rsidP="00AB3ABD">
      <w:pPr>
        <w:pStyle w:val="LGTdoc"/>
        <w:spacing w:before="100" w:beforeAutospacing="1" w:afterAutospacing="1"/>
        <w:rPr>
          <w:rFonts w:eastAsia="맑은 고딕"/>
          <w:iCs/>
          <w:u w:val="single"/>
          <w:lang w:val="en-US"/>
        </w:rPr>
      </w:pPr>
      <w:r w:rsidRPr="00C90FA7">
        <w:rPr>
          <w:rFonts w:eastAsia="맑은 고딕" w:hint="eastAsia"/>
          <w:iCs/>
          <w:u w:val="single"/>
          <w:lang w:val="en-US"/>
        </w:rPr>
        <w:t>FFS4: behavior if UE reads PSBCH from another UE</w:t>
      </w:r>
    </w:p>
    <w:p w14:paraId="46DB288D" w14:textId="319964A2" w:rsidR="005F0CDE" w:rsidRDefault="005F0CDE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At least</w:t>
      </w:r>
      <w:r w:rsidR="00874A31">
        <w:rPr>
          <w:rFonts w:eastAsia="맑은 고딕" w:hint="eastAsia"/>
          <w:iCs/>
          <w:lang w:val="en-US"/>
        </w:rPr>
        <w:t xml:space="preserve"> for</w:t>
      </w:r>
      <w:r>
        <w:rPr>
          <w:rFonts w:eastAsia="맑은 고딕" w:hint="eastAsia"/>
          <w:iCs/>
          <w:lang w:val="en-US"/>
        </w:rPr>
        <w:t xml:space="preserve"> data reception purpose</w:t>
      </w:r>
      <w:r w:rsidR="00F014CF">
        <w:rPr>
          <w:rFonts w:eastAsia="맑은 고딕" w:hint="eastAsia"/>
          <w:iCs/>
          <w:lang w:val="en-US"/>
        </w:rPr>
        <w:t xml:space="preserve"> from the other sync cluster</w:t>
      </w:r>
      <w:r>
        <w:rPr>
          <w:rFonts w:eastAsia="맑은 고딕" w:hint="eastAsia"/>
          <w:iCs/>
          <w:lang w:val="en-US"/>
        </w:rPr>
        <w:t>, UE should read other UE</w:t>
      </w:r>
      <w:r>
        <w:rPr>
          <w:rFonts w:eastAsia="맑은 고딕"/>
          <w:iCs/>
          <w:lang w:val="en-US"/>
        </w:rPr>
        <w:t>’</w:t>
      </w:r>
      <w:r w:rsidR="00874A31">
        <w:rPr>
          <w:rFonts w:eastAsia="맑은 고딕" w:hint="eastAsia"/>
          <w:iCs/>
          <w:lang w:val="en-US"/>
        </w:rPr>
        <w:t>s PSBCH</w:t>
      </w:r>
      <w:r w:rsidR="00D6670E">
        <w:rPr>
          <w:rFonts w:eastAsia="맑은 고딕" w:hint="eastAsia"/>
          <w:iCs/>
          <w:lang w:val="en-US"/>
        </w:rPr>
        <w:t xml:space="preserve"> for rightly allocate </w:t>
      </w:r>
      <w:r w:rsidR="00874A31">
        <w:rPr>
          <w:rFonts w:eastAsia="맑은 고딕" w:hint="eastAsia"/>
          <w:iCs/>
          <w:lang w:val="en-US"/>
        </w:rPr>
        <w:t xml:space="preserve">resource pool bitmap </w:t>
      </w:r>
      <w:r w:rsidR="00D6670E">
        <w:rPr>
          <w:rFonts w:eastAsia="맑은 고딕" w:hint="eastAsia"/>
          <w:iCs/>
          <w:lang w:val="en-US"/>
        </w:rPr>
        <w:t>based on the received TDD configuration</w:t>
      </w:r>
      <w:r>
        <w:rPr>
          <w:rFonts w:eastAsia="맑은 고딕" w:hint="eastAsia"/>
          <w:iCs/>
          <w:lang w:val="en-US"/>
        </w:rPr>
        <w:t xml:space="preserve">. </w:t>
      </w:r>
    </w:p>
    <w:p w14:paraId="47D31F74" w14:textId="44E47EF4" w:rsidR="005F0CDE" w:rsidRPr="005F0CDE" w:rsidRDefault="005F0CDE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5F0CDE">
        <w:rPr>
          <w:rFonts w:eastAsia="맑은 고딕" w:hint="eastAsia"/>
          <w:b/>
          <w:iCs/>
          <w:lang w:val="en-US"/>
        </w:rPr>
        <w:t xml:space="preserve">Proposal 4: At least </w:t>
      </w:r>
      <w:r w:rsidR="00874A31">
        <w:rPr>
          <w:rFonts w:eastAsia="맑은 고딕" w:hint="eastAsia"/>
          <w:b/>
          <w:iCs/>
          <w:lang w:val="en-US"/>
        </w:rPr>
        <w:t xml:space="preserve">for </w:t>
      </w:r>
      <w:r w:rsidRPr="005F0CDE">
        <w:rPr>
          <w:rFonts w:eastAsia="맑은 고딕" w:hint="eastAsia"/>
          <w:b/>
          <w:iCs/>
          <w:lang w:val="en-US"/>
        </w:rPr>
        <w:t>data reception purpose</w:t>
      </w:r>
      <w:r w:rsidR="00874A31">
        <w:rPr>
          <w:rFonts w:eastAsia="맑은 고딕" w:hint="eastAsia"/>
          <w:b/>
          <w:iCs/>
          <w:lang w:val="en-US"/>
        </w:rPr>
        <w:t xml:space="preserve"> </w:t>
      </w:r>
      <w:r w:rsidR="00874A31" w:rsidRPr="005F0CDE">
        <w:rPr>
          <w:rFonts w:eastAsia="맑은 고딕" w:hint="eastAsia"/>
          <w:b/>
          <w:iCs/>
          <w:lang w:val="en-US"/>
        </w:rPr>
        <w:t xml:space="preserve">not </w:t>
      </w:r>
      <w:r w:rsidR="00874A31">
        <w:rPr>
          <w:rFonts w:eastAsia="맑은 고딕" w:hint="eastAsia"/>
          <w:b/>
          <w:iCs/>
          <w:lang w:val="en-US"/>
        </w:rPr>
        <w:t xml:space="preserve">to update </w:t>
      </w:r>
      <w:r w:rsidR="00874A31" w:rsidRPr="005F0CDE">
        <w:rPr>
          <w:rFonts w:eastAsia="맑은 고딕" w:hint="eastAsia"/>
          <w:b/>
          <w:iCs/>
          <w:lang w:val="en-US"/>
        </w:rPr>
        <w:t xml:space="preserve">PSBCH </w:t>
      </w:r>
      <w:r w:rsidR="00874A31">
        <w:rPr>
          <w:rFonts w:eastAsia="맑은 고딕" w:hint="eastAsia"/>
          <w:b/>
          <w:iCs/>
          <w:lang w:val="en-US"/>
        </w:rPr>
        <w:t>contents</w:t>
      </w:r>
      <w:r w:rsidRPr="005F0CDE">
        <w:rPr>
          <w:rFonts w:eastAsia="맑은 고딕" w:hint="eastAsia"/>
          <w:b/>
          <w:iCs/>
          <w:lang w:val="en-US"/>
        </w:rPr>
        <w:t xml:space="preserve">, UE should </w:t>
      </w:r>
      <w:r w:rsidR="00D6670E">
        <w:rPr>
          <w:rFonts w:eastAsia="맑은 고딕" w:hint="eastAsia"/>
          <w:b/>
          <w:iCs/>
          <w:lang w:val="en-US"/>
        </w:rPr>
        <w:t xml:space="preserve">be able to </w:t>
      </w:r>
      <w:r w:rsidRPr="005F0CDE">
        <w:rPr>
          <w:rFonts w:eastAsia="맑은 고딕" w:hint="eastAsia"/>
          <w:b/>
          <w:iCs/>
          <w:lang w:val="en-US"/>
        </w:rPr>
        <w:t>read other UE</w:t>
      </w:r>
      <w:r w:rsidRPr="005F0CDE">
        <w:rPr>
          <w:rFonts w:eastAsia="맑은 고딕"/>
          <w:b/>
          <w:iCs/>
          <w:lang w:val="en-US"/>
        </w:rPr>
        <w:t>’</w:t>
      </w:r>
      <w:r w:rsidR="00874A31">
        <w:rPr>
          <w:rFonts w:eastAsia="맑은 고딕" w:hint="eastAsia"/>
          <w:b/>
          <w:iCs/>
          <w:lang w:val="en-US"/>
        </w:rPr>
        <w:t>s PSBCH</w:t>
      </w:r>
      <w:r w:rsidRPr="005F0CDE">
        <w:rPr>
          <w:rFonts w:eastAsia="맑은 고딕" w:hint="eastAsia"/>
          <w:b/>
          <w:iCs/>
          <w:lang w:val="en-US"/>
        </w:rPr>
        <w:t>.</w:t>
      </w:r>
    </w:p>
    <w:p w14:paraId="67E63AAC" w14:textId="083477C8" w:rsidR="00C90FA7" w:rsidRPr="000F772F" w:rsidRDefault="00C90FA7" w:rsidP="00AB3ABD">
      <w:pPr>
        <w:pStyle w:val="LGTdoc"/>
        <w:spacing w:before="100" w:beforeAutospacing="1" w:afterAutospacing="1"/>
        <w:rPr>
          <w:rFonts w:eastAsia="맑은 고딕"/>
          <w:b/>
          <w:iCs/>
          <w:u w:val="single"/>
          <w:lang w:val="en-US"/>
        </w:rPr>
      </w:pPr>
      <w:r w:rsidRPr="000F772F">
        <w:rPr>
          <w:rFonts w:eastAsia="맑은 고딕" w:hint="eastAsia"/>
          <w:b/>
          <w:iCs/>
          <w:u w:val="single"/>
          <w:lang w:val="en-US"/>
        </w:rPr>
        <w:t>Other issues</w:t>
      </w:r>
    </w:p>
    <w:p w14:paraId="290CE791" w14:textId="5DF2FE19" w:rsidR="00EC1499" w:rsidRDefault="00C90FA7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Number of synchronization resources for in coverage UE: In rel. 12/13 D2D, in coverage UE has one synchronization resource, but in V2V, subframe number is re</w:t>
      </w:r>
      <w:r w:rsidR="00EC1499">
        <w:rPr>
          <w:rFonts w:eastAsia="맑은 고딕" w:hint="eastAsia"/>
          <w:iCs/>
          <w:lang w:val="en-US"/>
        </w:rPr>
        <w:t>-</w:t>
      </w:r>
      <w:r>
        <w:rPr>
          <w:rFonts w:eastAsia="맑은 고딕" w:hint="eastAsia"/>
          <w:iCs/>
          <w:lang w:val="en-US"/>
        </w:rPr>
        <w:t>indexed excluding synchronization resource</w:t>
      </w:r>
      <w:r w:rsidR="00EC1499">
        <w:rPr>
          <w:rFonts w:eastAsia="맑은 고딕" w:hint="eastAsia"/>
          <w:iCs/>
          <w:lang w:val="en-US"/>
        </w:rPr>
        <w:t>(s)</w:t>
      </w:r>
      <w:r>
        <w:rPr>
          <w:rFonts w:eastAsia="맑은 고딕" w:hint="eastAsia"/>
          <w:iCs/>
          <w:lang w:val="en-US"/>
        </w:rPr>
        <w:t xml:space="preserve">. </w:t>
      </w:r>
      <w:r>
        <w:rPr>
          <w:rFonts w:eastAsia="맑은 고딕"/>
          <w:iCs/>
          <w:lang w:val="en-US"/>
        </w:rPr>
        <w:t>E</w:t>
      </w:r>
      <w:r>
        <w:rPr>
          <w:rFonts w:eastAsia="맑은 고딕" w:hint="eastAsia"/>
          <w:iCs/>
          <w:lang w:val="en-US"/>
        </w:rPr>
        <w:t xml:space="preserve">ven </w:t>
      </w:r>
      <w:r w:rsidR="00E91215">
        <w:rPr>
          <w:rFonts w:eastAsia="맑은 고딕" w:hint="eastAsia"/>
          <w:iCs/>
          <w:lang w:val="en-US"/>
        </w:rPr>
        <w:t>though</w:t>
      </w:r>
      <w:r>
        <w:rPr>
          <w:rFonts w:eastAsia="맑은 고딕" w:hint="eastAsia"/>
          <w:iCs/>
          <w:lang w:val="en-US"/>
        </w:rPr>
        <w:t xml:space="preserve"> TDD configuration is forwarded to</w:t>
      </w:r>
      <w:r w:rsidR="00E91215">
        <w:rPr>
          <w:rFonts w:eastAsia="맑은 고딕" w:hint="eastAsia"/>
          <w:iCs/>
          <w:lang w:val="en-US"/>
        </w:rPr>
        <w:t xml:space="preserve"> out-</w:t>
      </w:r>
      <w:r w:rsidR="00EC1499">
        <w:rPr>
          <w:rFonts w:eastAsia="맑은 고딕" w:hint="eastAsia"/>
          <w:iCs/>
          <w:lang w:val="en-US"/>
        </w:rPr>
        <w:t xml:space="preserve">coverage UE, if synchronization resources between in-coverage UE and out coverage UE </w:t>
      </w:r>
      <w:r w:rsidR="00D31C23">
        <w:rPr>
          <w:rFonts w:eastAsia="맑은 고딕" w:hint="eastAsia"/>
          <w:iCs/>
          <w:lang w:val="en-US"/>
        </w:rPr>
        <w:t>are</w:t>
      </w:r>
      <w:r w:rsidR="00EC1499">
        <w:rPr>
          <w:rFonts w:eastAsia="맑은 고딕" w:hint="eastAsia"/>
          <w:iCs/>
          <w:lang w:val="en-US"/>
        </w:rPr>
        <w:t xml:space="preserve"> not aligned, </w:t>
      </w:r>
      <w:r w:rsidR="00E91215">
        <w:rPr>
          <w:rFonts w:eastAsia="맑은 고딕" w:hint="eastAsia"/>
          <w:iCs/>
          <w:lang w:val="en-US"/>
        </w:rPr>
        <w:t xml:space="preserve">resource pool bitmap is differently allocated between in-coverage UE and out-coverage UE. Therefore, the number of synchronization resources of in-coverage UE should be aligned </w:t>
      </w:r>
      <w:r w:rsidR="00D31C23">
        <w:rPr>
          <w:rFonts w:eastAsia="맑은 고딕" w:hint="eastAsia"/>
          <w:iCs/>
          <w:lang w:val="en-US"/>
        </w:rPr>
        <w:t xml:space="preserve">with those of out-coverage UE. For example, if two sync resources are configured for out-coverage UE, same synch resources should be excluded for resource pool bitmap mapping for in-coverage UE. </w:t>
      </w:r>
    </w:p>
    <w:p w14:paraId="0665BDF1" w14:textId="090C7D8F" w:rsidR="00C90FA7" w:rsidRPr="00EC1499" w:rsidRDefault="00EC1499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EC1499">
        <w:rPr>
          <w:rFonts w:eastAsia="맑은 고딕" w:hint="eastAsia"/>
          <w:b/>
          <w:iCs/>
          <w:lang w:val="en-US"/>
        </w:rPr>
        <w:t>Proposa</w:t>
      </w:r>
      <w:r w:rsidR="000F772F">
        <w:rPr>
          <w:rFonts w:eastAsia="맑은 고딕" w:hint="eastAsia"/>
          <w:b/>
          <w:iCs/>
          <w:lang w:val="en-US"/>
        </w:rPr>
        <w:t>l 5</w:t>
      </w:r>
      <w:r w:rsidRPr="00EC1499">
        <w:rPr>
          <w:rFonts w:eastAsia="맑은 고딕" w:hint="eastAsia"/>
          <w:b/>
          <w:iCs/>
          <w:lang w:val="en-US"/>
        </w:rPr>
        <w:t xml:space="preserve">: The number of synchronization resources of in-coverage UE should be aligned with those of out-coverage UE. </w:t>
      </w:r>
      <w:r w:rsidR="00C90FA7" w:rsidRPr="00EC1499">
        <w:rPr>
          <w:rFonts w:eastAsia="맑은 고딕" w:hint="eastAsia"/>
          <w:b/>
          <w:iCs/>
          <w:lang w:val="en-US"/>
        </w:rPr>
        <w:t xml:space="preserve"> </w:t>
      </w:r>
    </w:p>
    <w:p w14:paraId="26CC5B3B" w14:textId="77777777" w:rsidR="00C90FA7" w:rsidRDefault="00C90FA7" w:rsidP="00AB3ABD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</w:p>
    <w:p w14:paraId="729B7318" w14:textId="31CCC967" w:rsidR="0032004A" w:rsidRPr="0032004A" w:rsidRDefault="0032004A" w:rsidP="0083247E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68B62B32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on </w:t>
      </w:r>
      <w:r>
        <w:rPr>
          <w:rFonts w:hint="eastAsia"/>
          <w:szCs w:val="22"/>
          <w:lang w:val="en-US"/>
        </w:rPr>
        <w:t>sidelink synchronization</w:t>
      </w:r>
      <w:r w:rsidRPr="00773C67">
        <w:rPr>
          <w:szCs w:val="22"/>
          <w:lang w:val="en-US"/>
        </w:rPr>
        <w:t>. The discussions can be summarized as follows:</w:t>
      </w:r>
    </w:p>
    <w:p w14:paraId="5C56F46C" w14:textId="77777777" w:rsidR="0083247E" w:rsidRDefault="0083247E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p w14:paraId="40BC1334" w14:textId="0C8BEE3A" w:rsidR="0032004A" w:rsidRPr="0032004A" w:rsidRDefault="00AB419F" w:rsidP="0032004A">
      <w:pPr>
        <w:pStyle w:val="LGTdoc"/>
        <w:spacing w:before="100" w:beforeAutospacing="1" w:afterAutospacing="1"/>
        <w:rPr>
          <w:rFonts w:eastAsia="맑은 고딕"/>
          <w:b/>
          <w:iCs/>
        </w:rPr>
      </w:pPr>
      <w:r w:rsidRPr="009E6B76">
        <w:rPr>
          <w:rFonts w:eastAsia="맑은 고딕" w:hint="eastAsia"/>
          <w:b/>
          <w:iCs/>
          <w:lang w:val="en-US"/>
        </w:rPr>
        <w:t>Proposal 1: Rel. 12 behavior should be reused for SLSS ID selection for standalone UE.</w:t>
      </w:r>
    </w:p>
    <w:p w14:paraId="00EC377F" w14:textId="77777777" w:rsidR="00AB419F" w:rsidRPr="009E6B76" w:rsidRDefault="00AB419F" w:rsidP="00AB419F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9E6B76">
        <w:rPr>
          <w:rFonts w:eastAsia="맑은 고딕" w:hint="eastAsia"/>
          <w:b/>
          <w:iCs/>
          <w:lang w:val="en-US"/>
        </w:rPr>
        <w:t xml:space="preserve">Proposal 2: SLSS ID = 168 is used for UE OoC sync to UE OoC when synch Ref UE is directly sync to GNSS. </w:t>
      </w:r>
    </w:p>
    <w:p w14:paraId="50AAEBCA" w14:textId="77777777" w:rsidR="00AB419F" w:rsidRPr="005F0CDE" w:rsidRDefault="00AB419F" w:rsidP="00AB419F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5F0CDE">
        <w:rPr>
          <w:rFonts w:eastAsia="맑은 고딕" w:hint="eastAsia"/>
          <w:b/>
          <w:iCs/>
          <w:lang w:val="en-US"/>
        </w:rPr>
        <w:t>Proposal 3: For UE isolated without GNSS, SLSS ID should be selected from SLSS ID_oon {168-335}.</w:t>
      </w:r>
    </w:p>
    <w:p w14:paraId="39E188CD" w14:textId="77777777" w:rsidR="00AB419F" w:rsidRPr="005F0CDE" w:rsidRDefault="00AB419F" w:rsidP="00AB419F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5F0CDE">
        <w:rPr>
          <w:rFonts w:eastAsia="맑은 고딕" w:hint="eastAsia"/>
          <w:b/>
          <w:iCs/>
          <w:lang w:val="en-US"/>
        </w:rPr>
        <w:t xml:space="preserve">Proposal 4: At least </w:t>
      </w:r>
      <w:r>
        <w:rPr>
          <w:rFonts w:eastAsia="맑은 고딕" w:hint="eastAsia"/>
          <w:b/>
          <w:iCs/>
          <w:lang w:val="en-US"/>
        </w:rPr>
        <w:t xml:space="preserve">for </w:t>
      </w:r>
      <w:r w:rsidRPr="005F0CDE">
        <w:rPr>
          <w:rFonts w:eastAsia="맑은 고딕" w:hint="eastAsia"/>
          <w:b/>
          <w:iCs/>
          <w:lang w:val="en-US"/>
        </w:rPr>
        <w:t>data reception purpose</w:t>
      </w:r>
      <w:r>
        <w:rPr>
          <w:rFonts w:eastAsia="맑은 고딕" w:hint="eastAsia"/>
          <w:b/>
          <w:iCs/>
          <w:lang w:val="en-US"/>
        </w:rPr>
        <w:t xml:space="preserve"> </w:t>
      </w:r>
      <w:r w:rsidRPr="005F0CDE">
        <w:rPr>
          <w:rFonts w:eastAsia="맑은 고딕" w:hint="eastAsia"/>
          <w:b/>
          <w:iCs/>
          <w:lang w:val="en-US"/>
        </w:rPr>
        <w:t xml:space="preserve">not </w:t>
      </w:r>
      <w:r>
        <w:rPr>
          <w:rFonts w:eastAsia="맑은 고딕" w:hint="eastAsia"/>
          <w:b/>
          <w:iCs/>
          <w:lang w:val="en-US"/>
        </w:rPr>
        <w:t xml:space="preserve">to update </w:t>
      </w:r>
      <w:r w:rsidRPr="005F0CDE">
        <w:rPr>
          <w:rFonts w:eastAsia="맑은 고딕" w:hint="eastAsia"/>
          <w:b/>
          <w:iCs/>
          <w:lang w:val="en-US"/>
        </w:rPr>
        <w:t xml:space="preserve">PSBCH </w:t>
      </w:r>
      <w:r>
        <w:rPr>
          <w:rFonts w:eastAsia="맑은 고딕" w:hint="eastAsia"/>
          <w:b/>
          <w:iCs/>
          <w:lang w:val="en-US"/>
        </w:rPr>
        <w:t>contents</w:t>
      </w:r>
      <w:r w:rsidRPr="005F0CDE">
        <w:rPr>
          <w:rFonts w:eastAsia="맑은 고딕" w:hint="eastAsia"/>
          <w:b/>
          <w:iCs/>
          <w:lang w:val="en-US"/>
        </w:rPr>
        <w:t xml:space="preserve">, UE should </w:t>
      </w:r>
      <w:r>
        <w:rPr>
          <w:rFonts w:eastAsia="맑은 고딕" w:hint="eastAsia"/>
          <w:b/>
          <w:iCs/>
          <w:lang w:val="en-US"/>
        </w:rPr>
        <w:t xml:space="preserve">be able to </w:t>
      </w:r>
      <w:r w:rsidRPr="005F0CDE">
        <w:rPr>
          <w:rFonts w:eastAsia="맑은 고딕" w:hint="eastAsia"/>
          <w:b/>
          <w:iCs/>
          <w:lang w:val="en-US"/>
        </w:rPr>
        <w:t>read other UE</w:t>
      </w:r>
      <w:r w:rsidRPr="005F0CDE">
        <w:rPr>
          <w:rFonts w:eastAsia="맑은 고딕"/>
          <w:b/>
          <w:iCs/>
          <w:lang w:val="en-US"/>
        </w:rPr>
        <w:t>’</w:t>
      </w:r>
      <w:r>
        <w:rPr>
          <w:rFonts w:eastAsia="맑은 고딕" w:hint="eastAsia"/>
          <w:b/>
          <w:iCs/>
          <w:lang w:val="en-US"/>
        </w:rPr>
        <w:t>s PSBCH</w:t>
      </w:r>
      <w:r w:rsidRPr="005F0CDE">
        <w:rPr>
          <w:rFonts w:eastAsia="맑은 고딕" w:hint="eastAsia"/>
          <w:b/>
          <w:iCs/>
          <w:lang w:val="en-US"/>
        </w:rPr>
        <w:t>.</w:t>
      </w:r>
    </w:p>
    <w:p w14:paraId="59D3063D" w14:textId="77777777" w:rsidR="00AB419F" w:rsidRPr="00EC1499" w:rsidRDefault="00AB419F" w:rsidP="00AB419F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EC1499">
        <w:rPr>
          <w:rFonts w:eastAsia="맑은 고딕" w:hint="eastAsia"/>
          <w:b/>
          <w:iCs/>
          <w:lang w:val="en-US"/>
        </w:rPr>
        <w:t>Proposa</w:t>
      </w:r>
      <w:r>
        <w:rPr>
          <w:rFonts w:eastAsia="맑은 고딕" w:hint="eastAsia"/>
          <w:b/>
          <w:iCs/>
          <w:lang w:val="en-US"/>
        </w:rPr>
        <w:t>l 5</w:t>
      </w:r>
      <w:r w:rsidRPr="00EC1499">
        <w:rPr>
          <w:rFonts w:eastAsia="맑은 고딕" w:hint="eastAsia"/>
          <w:b/>
          <w:iCs/>
          <w:lang w:val="en-US"/>
        </w:rPr>
        <w:t xml:space="preserve">: The number of synchronization resources of in-coverage UE should be aligned with those of out-coverage UE.  </w:t>
      </w:r>
    </w:p>
    <w:p w14:paraId="4FC52773" w14:textId="77777777" w:rsidR="0032004A" w:rsidRPr="00AB419F" w:rsidRDefault="0032004A" w:rsidP="007B3A4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p w14:paraId="4F808E64" w14:textId="65C849D4" w:rsidR="00B4095B" w:rsidRPr="0032004A" w:rsidRDefault="00652667" w:rsidP="0032004A">
      <w:pPr>
        <w:pStyle w:val="1"/>
        <w:rPr>
          <w:noProof/>
        </w:rPr>
      </w:pPr>
      <w:r w:rsidRPr="00BC4D0B">
        <w:t>References</w:t>
      </w:r>
      <w:bookmarkEnd w:id="5"/>
      <w:bookmarkEnd w:id="6"/>
    </w:p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36B65" w14:textId="77777777" w:rsidR="000F2CDD" w:rsidRDefault="000F2CDD" w:rsidP="00796430">
      <w:r>
        <w:separator/>
      </w:r>
    </w:p>
  </w:endnote>
  <w:endnote w:type="continuationSeparator" w:id="0">
    <w:p w14:paraId="3AEC1D4B" w14:textId="77777777" w:rsidR="000F2CDD" w:rsidRDefault="000F2CD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916D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916DA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3F4046" w14:textId="77777777" w:rsidR="000F2CDD" w:rsidRDefault="000F2CDD" w:rsidP="00796430">
      <w:r>
        <w:separator/>
      </w:r>
    </w:p>
  </w:footnote>
  <w:footnote w:type="continuationSeparator" w:id="0">
    <w:p w14:paraId="0395E18B" w14:textId="77777777" w:rsidR="000F2CDD" w:rsidRDefault="000F2CD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D115C8D"/>
    <w:multiLevelType w:val="hybridMultilevel"/>
    <w:tmpl w:val="078CD492"/>
    <w:lvl w:ilvl="0" w:tplc="3B48B7D6">
      <w:start w:val="3"/>
      <w:numFmt w:val="chosung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DF5287D"/>
    <w:multiLevelType w:val="hybridMultilevel"/>
    <w:tmpl w:val="F26EE7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E521B85"/>
    <w:multiLevelType w:val="hybridMultilevel"/>
    <w:tmpl w:val="D60C4A2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0DE34BC"/>
    <w:multiLevelType w:val="singleLevel"/>
    <w:tmpl w:val="1BAE5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1AB6D5D"/>
    <w:multiLevelType w:val="hybridMultilevel"/>
    <w:tmpl w:val="AB36B77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24694C"/>
    <w:multiLevelType w:val="hybridMultilevel"/>
    <w:tmpl w:val="CA5E11A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C05784F"/>
    <w:multiLevelType w:val="hybridMultilevel"/>
    <w:tmpl w:val="82AECE94"/>
    <w:lvl w:ilvl="0" w:tplc="E95AE59E">
      <w:start w:val="6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51515F6"/>
    <w:multiLevelType w:val="hybridMultilevel"/>
    <w:tmpl w:val="2E480D20"/>
    <w:lvl w:ilvl="0" w:tplc="62B40828">
      <w:start w:val="5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6F501BEF"/>
    <w:multiLevelType w:val="hybridMultilevel"/>
    <w:tmpl w:val="B49C579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8355C45"/>
    <w:multiLevelType w:val="hybridMultilevel"/>
    <w:tmpl w:val="067E914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31"/>
  </w:num>
  <w:num w:numId="8">
    <w:abstractNumId w:val="9"/>
  </w:num>
  <w:num w:numId="9">
    <w:abstractNumId w:val="6"/>
  </w:num>
  <w:num w:numId="10">
    <w:abstractNumId w:val="12"/>
  </w:num>
  <w:num w:numId="11">
    <w:abstractNumId w:val="1"/>
  </w:num>
  <w:num w:numId="12">
    <w:abstractNumId w:val="29"/>
  </w:num>
  <w:num w:numId="13">
    <w:abstractNumId w:val="5"/>
  </w:num>
  <w:num w:numId="14">
    <w:abstractNumId w:val="17"/>
  </w:num>
  <w:num w:numId="15">
    <w:abstractNumId w:val="33"/>
  </w:num>
  <w:num w:numId="16">
    <w:abstractNumId w:val="23"/>
  </w:num>
  <w:num w:numId="17">
    <w:abstractNumId w:val="3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8"/>
  </w:num>
  <w:num w:numId="20">
    <w:abstractNumId w:val="3"/>
  </w:num>
  <w:num w:numId="21">
    <w:abstractNumId w:val="30"/>
  </w:num>
  <w:num w:numId="22">
    <w:abstractNumId w:val="37"/>
  </w:num>
  <w:num w:numId="23">
    <w:abstractNumId w:val="19"/>
  </w:num>
  <w:num w:numId="24">
    <w:abstractNumId w:val="35"/>
  </w:num>
  <w:num w:numId="25">
    <w:abstractNumId w:val="21"/>
  </w:num>
  <w:num w:numId="26">
    <w:abstractNumId w:val="4"/>
  </w:num>
  <w:num w:numId="27">
    <w:abstractNumId w:val="43"/>
  </w:num>
  <w:num w:numId="28">
    <w:abstractNumId w:val="11"/>
  </w:num>
  <w:num w:numId="29">
    <w:abstractNumId w:val="24"/>
  </w:num>
  <w:num w:numId="30">
    <w:abstractNumId w:val="36"/>
  </w:num>
  <w:num w:numId="31">
    <w:abstractNumId w:val="25"/>
  </w:num>
  <w:num w:numId="32">
    <w:abstractNumId w:val="7"/>
  </w:num>
  <w:num w:numId="33">
    <w:abstractNumId w:val="38"/>
  </w:num>
  <w:num w:numId="34">
    <w:abstractNumId w:val="34"/>
  </w:num>
  <w:num w:numId="35">
    <w:abstractNumId w:val="41"/>
  </w:num>
  <w:num w:numId="36">
    <w:abstractNumId w:val="16"/>
  </w:num>
  <w:num w:numId="37">
    <w:abstractNumId w:val="20"/>
  </w:num>
  <w:num w:numId="38">
    <w:abstractNumId w:val="42"/>
  </w:num>
  <w:num w:numId="39">
    <w:abstractNumId w:val="40"/>
  </w:num>
  <w:num w:numId="40">
    <w:abstractNumId w:val="32"/>
  </w:num>
  <w:num w:numId="41">
    <w:abstractNumId w:val="44"/>
  </w:num>
  <w:num w:numId="42">
    <w:abstractNumId w:val="18"/>
  </w:num>
  <w:num w:numId="43">
    <w:abstractNumId w:val="10"/>
  </w:num>
  <w:num w:numId="44">
    <w:abstractNumId w:val="15"/>
  </w:num>
  <w:num w:numId="45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687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3F7"/>
    <w:rsid w:val="008053F9"/>
    <w:rsid w:val="00805951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ED6418-F843-4C56-8349-EFFFDCDD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6960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2</cp:revision>
  <cp:lastPrinted>2012-09-26T11:01:00Z</cp:lastPrinted>
  <dcterms:created xsi:type="dcterms:W3CDTF">2017-02-07T05:25:00Z</dcterms:created>
  <dcterms:modified xsi:type="dcterms:W3CDTF">2017-02-07T05:25:00Z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